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C80" w:rsidRDefault="007A3C80" w:rsidP="00322027">
      <w:pPr>
        <w:ind w:right="-82"/>
        <w:jc w:val="both"/>
        <w:outlineLvl w:val="0"/>
        <w:rPr>
          <w:b/>
          <w:u w:val="single"/>
        </w:rPr>
      </w:pPr>
      <w:r w:rsidRPr="00C6258D">
        <w:rPr>
          <w:b/>
          <w:u w:val="single"/>
        </w:rPr>
        <w:t>Condizioni particolari di fornitura:</w:t>
      </w:r>
    </w:p>
    <w:p w:rsidR="007A3C80" w:rsidRDefault="007A3C80" w:rsidP="00466D63">
      <w:pPr>
        <w:ind w:right="-82"/>
        <w:jc w:val="both"/>
        <w:rPr>
          <w:b/>
          <w:u w:val="single"/>
        </w:rPr>
      </w:pPr>
    </w:p>
    <w:p w:rsidR="007A3C80" w:rsidRDefault="007A3C80" w:rsidP="001F7D97">
      <w:pPr>
        <w:jc w:val="both"/>
      </w:pPr>
      <w:r>
        <w:t xml:space="preserve">Ai fini dell’aggiudicazione, come previsto dall’art. 36, comma 5, del </w:t>
      </w:r>
      <w:proofErr w:type="spellStart"/>
      <w:r>
        <w:t>D.Lgs.</w:t>
      </w:r>
      <w:proofErr w:type="spellEnd"/>
      <w:r>
        <w:t xml:space="preserve"> 19 aprile 2016, n. 50, </w:t>
      </w:r>
      <w:r>
        <w:rPr>
          <w:i/>
          <w:iCs/>
        </w:rPr>
        <w:t xml:space="preserve">“…le stazioni appaltanti verificano esclusivamente i requisisti di carattere generale mediante consultazione della Banca Dati nazionale degli operatori economici di cui all’art. </w:t>
      </w:r>
      <w:smartTag w:uri="urn:schemas-microsoft-com:office:smarttags" w:element="metricconverter">
        <w:smartTagPr>
          <w:attr w:name="ProductID" w:val="81”"/>
        </w:smartTagPr>
        <w:r>
          <w:rPr>
            <w:i/>
            <w:iCs/>
          </w:rPr>
          <w:t>81</w:t>
        </w:r>
        <w:r>
          <w:t>”</w:t>
        </w:r>
      </w:smartTag>
      <w:r>
        <w:t xml:space="preserve">. Come indicato al successivo articolo n. 216, comma 13, del medesimo </w:t>
      </w:r>
      <w:proofErr w:type="gramStart"/>
      <w:r>
        <w:t>decreto ”</w:t>
      </w:r>
      <w:r>
        <w:rPr>
          <w:i/>
          <w:iCs/>
        </w:rPr>
        <w:t>Fino</w:t>
      </w:r>
      <w:proofErr w:type="gramEnd"/>
      <w:r>
        <w:rPr>
          <w:i/>
          <w:iCs/>
        </w:rPr>
        <w:t xml:space="preserve"> all’entrata in vigore del decreto di cui all’art 81, comma 2, le stazioni appaltanti e gli operatori economici utilizzano </w:t>
      </w:r>
      <w:smartTag w:uri="urn:schemas-microsoft-com:office:smarttags" w:element="PersonName">
        <w:smartTagPr>
          <w:attr w:name="ProductID" w:val="la Banca"/>
        </w:smartTagPr>
        <w:r>
          <w:rPr>
            <w:i/>
            <w:iCs/>
          </w:rPr>
          <w:t>la Banca</w:t>
        </w:r>
      </w:smartTag>
      <w:r>
        <w:rPr>
          <w:i/>
          <w:iCs/>
        </w:rPr>
        <w:t xml:space="preserve"> dati  AVC Pass istituita presso l’ANAC</w:t>
      </w:r>
      <w:r>
        <w:t>”. Secondo quanto indicato nella Deliberazione ANAC n. 157 del 17.2.2016, recante l’aggiornamento della Deliberazione dell’Autorità per la vigilanza sui contratti pubblici 20 dicembre 2012, n. 111, c</w:t>
      </w:r>
      <w:r>
        <w:rPr>
          <w:color w:val="000000"/>
        </w:rPr>
        <w:t>iascun concorrente, tramite il servizio AVCPASS (</w:t>
      </w:r>
      <w:hyperlink r:id="rId4" w:tooltip="blocked::http://www.anticorruzione.it/portal/public/classic/Servizi/ServiziOnline/AVCpass" w:history="1">
        <w:r>
          <w:rPr>
            <w:rStyle w:val="Collegamentoipertestuale"/>
          </w:rPr>
          <w:t>http://www.anticorruzione.it/portal/public/classic/Servizi/ServiziOnline/AVCpass</w:t>
        </w:r>
      </w:hyperlink>
      <w:r>
        <w:rPr>
          <w:color w:val="000000"/>
        </w:rPr>
        <w:t xml:space="preserve">), </w:t>
      </w:r>
      <w:r>
        <w:t xml:space="preserve">indica a sistema il CIG della procedura di affidamento in argomento ed  </w:t>
      </w:r>
      <w:r>
        <w:rPr>
          <w:color w:val="000000"/>
        </w:rPr>
        <w:t xml:space="preserve">ottiene dal sistema un “PASSOE” che dovrà essere inserito a sistema nella sezione “Documentazione Amministrativa”. Come specificato all’art. 2, punto 3 - </w:t>
      </w:r>
      <w:proofErr w:type="spellStart"/>
      <w:r>
        <w:rPr>
          <w:color w:val="000000"/>
        </w:rPr>
        <w:t>lett</w:t>
      </w:r>
      <w:proofErr w:type="spellEnd"/>
      <w:r>
        <w:rPr>
          <w:color w:val="000000"/>
        </w:rPr>
        <w:t xml:space="preserve">. b, della predetta Deliberazione </w:t>
      </w:r>
      <w:r>
        <w:t xml:space="preserve">il mancato inserimento del </w:t>
      </w:r>
      <w:r>
        <w:rPr>
          <w:color w:val="000000"/>
        </w:rPr>
        <w:t xml:space="preserve">“PASSOE” </w:t>
      </w:r>
      <w:r>
        <w:t xml:space="preserve">nella busta contenente la documentazione amministrativa non costituisce causa di </w:t>
      </w:r>
      <w:proofErr w:type="gramStart"/>
      <w:r>
        <w:t>esclusione</w:t>
      </w:r>
      <w:proofErr w:type="gramEnd"/>
      <w:r>
        <w:t>, trattandosi di elemento esigibile - ed indispensabile sotto il profilo della celere e sicura verifica del possesso dei requisiti ai sensi dell’art. 6-</w:t>
      </w:r>
      <w:r>
        <w:rPr>
          <w:i/>
          <w:iCs/>
        </w:rPr>
        <w:t xml:space="preserve">bis </w:t>
      </w:r>
      <w:r>
        <w:t xml:space="preserve">del </w:t>
      </w:r>
      <w:proofErr w:type="spellStart"/>
      <w:r>
        <w:t>D.Lgs.</w:t>
      </w:r>
      <w:proofErr w:type="spellEnd"/>
      <w:r>
        <w:t xml:space="preserve"> n. 163/2006 e </w:t>
      </w:r>
      <w:proofErr w:type="spellStart"/>
      <w:r>
        <w:t>s.m.i.</w:t>
      </w:r>
      <w:proofErr w:type="spellEnd"/>
      <w:r>
        <w:t>, - da parte della stazione appaltante e da regolarizzare, a pena di esclusione e senza applicazione di sanzione alcuna, nella prima seduta di gara o nel diverso termine assegnato nel corso della medesima.</w:t>
      </w:r>
    </w:p>
    <w:p w:rsidR="007A3C80" w:rsidRPr="00C6258D" w:rsidRDefault="007A3C80" w:rsidP="00466D63">
      <w:pPr>
        <w:ind w:right="-82"/>
        <w:jc w:val="both"/>
        <w:rPr>
          <w:b/>
          <w:u w:val="single"/>
        </w:rPr>
      </w:pPr>
    </w:p>
    <w:p w:rsidR="007A3C80" w:rsidRPr="00654DF1" w:rsidRDefault="007A3C80" w:rsidP="00466D63">
      <w:pPr>
        <w:ind w:right="-82"/>
        <w:jc w:val="both"/>
        <w:rPr>
          <w:lang w:bidi="he-IL"/>
        </w:rPr>
      </w:pPr>
      <w:r w:rsidRPr="00654DF1">
        <w:t xml:space="preserve">L’aggiudicataria </w:t>
      </w:r>
      <w:r w:rsidRPr="00654DF1">
        <w:rPr>
          <w:color w:val="000000"/>
        </w:rPr>
        <w:t>è tenuta a ottemperare agli obblighi sulla tracciabilità dei flussi finanziari previsti dall’art. 3 della Legge 13 agosto 2010, n. 136, comunicando allo scrivente gli estremi identificativi del conto corrente dedicato nonché le generalità e il codice fiscale delle persone delegate ad operare su di esso. La mancanza della predetta comunicazione, da effettuarsi contestualmente all’accettazione o entro sette giorni dall’eventuale accensione del conto corrente, determina la nullità assoluta della presente ordinazione.</w:t>
      </w:r>
      <w:r w:rsidRPr="00654DF1">
        <w:rPr>
          <w:lang w:bidi="he-IL"/>
        </w:rPr>
        <w:t xml:space="preserve"> </w:t>
      </w:r>
      <w:r w:rsidRPr="00654DF1">
        <w:t>L’aggiudicataria</w:t>
      </w:r>
      <w:r w:rsidRPr="00654DF1">
        <w:rPr>
          <w:color w:val="000000"/>
        </w:rPr>
        <w:t xml:space="preserve"> </w:t>
      </w:r>
      <w:r w:rsidRPr="00654DF1">
        <w:rPr>
          <w:lang w:bidi="he-IL"/>
        </w:rPr>
        <w:t>dovrà provvedere, altresì, a comunicare ogni modifica relativa ai dati trasmessi.</w:t>
      </w:r>
    </w:p>
    <w:p w:rsidR="007A3C80" w:rsidRPr="00654DF1" w:rsidRDefault="007A3C80" w:rsidP="00466D63">
      <w:pPr>
        <w:ind w:right="-82"/>
        <w:jc w:val="both"/>
      </w:pPr>
      <w:r w:rsidRPr="00654DF1">
        <w:t>Si precisa che a norma dell’art.</w:t>
      </w:r>
      <w:r>
        <w:t xml:space="preserve"> 103</w:t>
      </w:r>
      <w:r w:rsidRPr="00654DF1">
        <w:t xml:space="preserve"> del </w:t>
      </w:r>
      <w:proofErr w:type="spellStart"/>
      <w:r w:rsidRPr="00654DF1">
        <w:t>d.lgs</w:t>
      </w:r>
      <w:proofErr w:type="spellEnd"/>
      <w:r w:rsidRPr="00654DF1">
        <w:t xml:space="preserve"> </w:t>
      </w:r>
      <w:r>
        <w:t>19</w:t>
      </w:r>
      <w:r w:rsidRPr="00654DF1">
        <w:t xml:space="preserve"> aprile 20</w:t>
      </w:r>
      <w:r>
        <w:t>1</w:t>
      </w:r>
      <w:r w:rsidRPr="00654DF1">
        <w:t xml:space="preserve">6, n. </w:t>
      </w:r>
      <w:smartTag w:uri="urn:schemas-microsoft-com:office:smarttags" w:element="metricconverter">
        <w:smartTagPr>
          <w:attr w:name="ProductID" w:val="2013 in"/>
        </w:smartTagPr>
        <w:r>
          <w:t>50</w:t>
        </w:r>
        <w:r w:rsidRPr="00654DF1">
          <w:t>, l</w:t>
        </w:r>
      </w:smartTag>
      <w:r w:rsidRPr="00654DF1">
        <w:t>'esecutore del contratto è obbligato a costituire una garanzia fideiussoria del 10 per cento dell'importo contrattuale. L'importo della garanzia, e del suo eventuale rinnovo, è ridotto del cinquanta per cento per gli operatori economici ai quali venga rilasciata, da organismi accreditati, ai sensi delle norme europee della serie UNI CEI EN 45000 e della serie UNI CEI EN ISO/IEC 17000, la certificazione del sistema di qualità conforme alle norme europee della serie UNI CEI ISO 9000.</w:t>
      </w:r>
    </w:p>
    <w:p w:rsidR="007A3C80" w:rsidRDefault="007A3C80" w:rsidP="00466D63">
      <w:pPr>
        <w:jc w:val="both"/>
      </w:pPr>
      <w:r w:rsidRPr="00654DF1">
        <w:t>Ai sensi dell’art. 50, comma 2, del D.P.C.M. 22.11.2010 l’Amministrazione si riserva la facoltà di aggiudicare anche in caso di presentazione di una sola offerta.</w:t>
      </w:r>
    </w:p>
    <w:p w:rsidR="007A3C80" w:rsidRDefault="007A3C80" w:rsidP="00466D63">
      <w:pPr>
        <w:pStyle w:val="Testonormale"/>
        <w:jc w:val="both"/>
        <w:rPr>
          <w:rFonts w:ascii="Times New Roman" w:hAnsi="Times New Roman" w:cs="Times New Roman"/>
          <w:sz w:val="24"/>
          <w:szCs w:val="24"/>
          <w:lang w:eastAsia="it-IT" w:bidi="he-IL"/>
        </w:rPr>
      </w:pPr>
      <w:r w:rsidRPr="00654DF1">
        <w:rPr>
          <w:rFonts w:ascii="Times New Roman" w:hAnsi="Times New Roman" w:cs="Times New Roman"/>
          <w:sz w:val="24"/>
          <w:szCs w:val="24"/>
        </w:rPr>
        <w:t>Non sarà consentita la cessione a terzi dell’ordine concluso. Le parti pattuiscono espressamente che, in relazione alla specifica natura ed oggetto delle prestazioni dedotte in contratto, il pagamento avvenga entro 60 giorni dalla data di ricezione della fattura. La fattura dovrà essere completa delle modalità di pagamento, del CIG, nonché del numero di riferimento del contratto.</w:t>
      </w:r>
      <w:r w:rsidRPr="00654DF1">
        <w:rPr>
          <w:rFonts w:ascii="Times New Roman" w:hAnsi="Times New Roman" w:cs="Times New Roman"/>
          <w:sz w:val="24"/>
          <w:szCs w:val="24"/>
          <w:lang w:bidi="he-IL"/>
        </w:rPr>
        <w:t xml:space="preserve"> S</w:t>
      </w:r>
      <w:r w:rsidRPr="00654DF1">
        <w:rPr>
          <w:rFonts w:ascii="Times New Roman" w:hAnsi="Times New Roman" w:cs="Times New Roman"/>
          <w:sz w:val="24"/>
          <w:szCs w:val="24"/>
          <w:lang w:eastAsia="it-IT" w:bidi="he-IL"/>
        </w:rPr>
        <w:t xml:space="preserve">i comunica che, ai sensi dell’art. 3 del Decreto MEF n. 55 del 3 aprile </w:t>
      </w:r>
      <w:smartTag w:uri="urn:schemas-microsoft-com:office:smarttags" w:element="metricconverter">
        <w:smartTagPr>
          <w:attr w:name="ProductID" w:val="2013 in"/>
        </w:smartTagPr>
        <w:r w:rsidRPr="00654DF1">
          <w:rPr>
            <w:rFonts w:ascii="Times New Roman" w:hAnsi="Times New Roman" w:cs="Times New Roman"/>
            <w:sz w:val="24"/>
            <w:szCs w:val="24"/>
            <w:lang w:eastAsia="it-IT" w:bidi="he-IL"/>
          </w:rPr>
          <w:t>2013 in</w:t>
        </w:r>
      </w:smartTag>
      <w:r w:rsidRPr="00654DF1">
        <w:rPr>
          <w:rFonts w:ascii="Times New Roman" w:hAnsi="Times New Roman" w:cs="Times New Roman"/>
          <w:sz w:val="24"/>
          <w:szCs w:val="24"/>
          <w:lang w:eastAsia="it-IT" w:bidi="he-IL"/>
        </w:rPr>
        <w:t xml:space="preserve"> materia di fatturazione elettronica, il codice IPA del Servizio gare e acquisti di beni e servizi è il seguente: </w:t>
      </w:r>
      <w:r w:rsidRPr="00654DF1">
        <w:rPr>
          <w:rFonts w:ascii="Times New Roman" w:hAnsi="Times New Roman" w:cs="Times New Roman"/>
          <w:b/>
          <w:sz w:val="24"/>
          <w:szCs w:val="24"/>
          <w:lang w:eastAsia="it-IT" w:bidi="he-IL"/>
        </w:rPr>
        <w:t>MS7W35</w:t>
      </w:r>
      <w:r w:rsidRPr="00654DF1">
        <w:rPr>
          <w:rFonts w:ascii="Times New Roman" w:hAnsi="Times New Roman" w:cs="Times New Roman"/>
          <w:sz w:val="24"/>
          <w:szCs w:val="24"/>
          <w:lang w:eastAsia="it-IT" w:bidi="he-IL"/>
        </w:rPr>
        <w:t>.</w:t>
      </w:r>
    </w:p>
    <w:p w:rsidR="007A3C80" w:rsidRDefault="007A3C80" w:rsidP="00466D63">
      <w:pPr>
        <w:pStyle w:val="Testonormale"/>
        <w:jc w:val="both"/>
        <w:rPr>
          <w:rFonts w:ascii="Times New Roman" w:hAnsi="Times New Roman" w:cs="Times New Roman"/>
          <w:sz w:val="24"/>
          <w:szCs w:val="24"/>
          <w:lang w:eastAsia="it-IT" w:bidi="he-IL"/>
        </w:rPr>
      </w:pPr>
    </w:p>
    <w:p w:rsidR="007A3C80" w:rsidRDefault="007A3C80">
      <w:bookmarkStart w:id="0" w:name="_GoBack"/>
      <w:bookmarkEnd w:id="0"/>
    </w:p>
    <w:sectPr w:rsidR="007A3C80" w:rsidSect="00380D5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3C4"/>
    <w:rsid w:val="000027B4"/>
    <w:rsid w:val="00090493"/>
    <w:rsid w:val="000A311A"/>
    <w:rsid w:val="000E3C71"/>
    <w:rsid w:val="001A0D93"/>
    <w:rsid w:val="001D6B99"/>
    <w:rsid w:val="001F7D97"/>
    <w:rsid w:val="00205495"/>
    <w:rsid w:val="002D3B11"/>
    <w:rsid w:val="002D658A"/>
    <w:rsid w:val="00322027"/>
    <w:rsid w:val="00335277"/>
    <w:rsid w:val="00343492"/>
    <w:rsid w:val="00370361"/>
    <w:rsid w:val="00380D5C"/>
    <w:rsid w:val="003D43AB"/>
    <w:rsid w:val="004273C4"/>
    <w:rsid w:val="00432B49"/>
    <w:rsid w:val="00466D63"/>
    <w:rsid w:val="0048780B"/>
    <w:rsid w:val="004E540B"/>
    <w:rsid w:val="005E78C2"/>
    <w:rsid w:val="006070A0"/>
    <w:rsid w:val="00624E3F"/>
    <w:rsid w:val="00647E65"/>
    <w:rsid w:val="00654DF1"/>
    <w:rsid w:val="00656502"/>
    <w:rsid w:val="006F3A31"/>
    <w:rsid w:val="00715E14"/>
    <w:rsid w:val="00716E42"/>
    <w:rsid w:val="00772CF6"/>
    <w:rsid w:val="007A3C80"/>
    <w:rsid w:val="007C3928"/>
    <w:rsid w:val="00887723"/>
    <w:rsid w:val="009D469E"/>
    <w:rsid w:val="00A33086"/>
    <w:rsid w:val="00A551D9"/>
    <w:rsid w:val="00AB7F82"/>
    <w:rsid w:val="00AE3F7E"/>
    <w:rsid w:val="00C6258D"/>
    <w:rsid w:val="00C73A5D"/>
    <w:rsid w:val="00C73C01"/>
    <w:rsid w:val="00C760B6"/>
    <w:rsid w:val="00CC4C92"/>
    <w:rsid w:val="00CC72BB"/>
    <w:rsid w:val="00D87D59"/>
    <w:rsid w:val="00E27125"/>
    <w:rsid w:val="00F77398"/>
    <w:rsid w:val="00FD1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C861F7C5-23DC-410D-BDCB-B76566CE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66D63"/>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rsid w:val="00466D63"/>
    <w:rPr>
      <w:rFonts w:ascii="Calibri" w:hAnsi="Calibri" w:cs="Calibri"/>
      <w:sz w:val="22"/>
      <w:szCs w:val="22"/>
      <w:lang w:eastAsia="en-US"/>
    </w:rPr>
  </w:style>
  <w:style w:type="character" w:customStyle="1" w:styleId="TestonormaleCarattere">
    <w:name w:val="Testo normale Carattere"/>
    <w:basedOn w:val="Carpredefinitoparagrafo"/>
    <w:link w:val="Testonormale"/>
    <w:uiPriority w:val="99"/>
    <w:semiHidden/>
    <w:locked/>
    <w:rsid w:val="00466D63"/>
    <w:rPr>
      <w:rFonts w:ascii="Calibri" w:hAnsi="Calibri" w:cs="Calibri"/>
    </w:rPr>
  </w:style>
  <w:style w:type="paragraph" w:customStyle="1" w:styleId="Carattere">
    <w:name w:val="Carattere"/>
    <w:basedOn w:val="Normale"/>
    <w:uiPriority w:val="99"/>
    <w:rsid w:val="001D6B99"/>
    <w:pPr>
      <w:ind w:left="567"/>
    </w:pPr>
    <w:rPr>
      <w:rFonts w:ascii="Arial" w:hAnsi="Arial"/>
    </w:rPr>
  </w:style>
  <w:style w:type="character" w:styleId="Collegamentoipertestuale">
    <w:name w:val="Hyperlink"/>
    <w:basedOn w:val="Carpredefinitoparagrafo"/>
    <w:uiPriority w:val="99"/>
    <w:semiHidden/>
    <w:rsid w:val="00205495"/>
    <w:rPr>
      <w:rFonts w:cs="Times New Roman"/>
      <w:color w:val="0000FF"/>
      <w:u w:val="single"/>
    </w:rPr>
  </w:style>
  <w:style w:type="paragraph" w:styleId="Mappadocumento">
    <w:name w:val="Document Map"/>
    <w:basedOn w:val="Normale"/>
    <w:link w:val="MappadocumentoCarattere"/>
    <w:uiPriority w:val="99"/>
    <w:semiHidden/>
    <w:rsid w:val="00322027"/>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7C3928"/>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corruzione.it/portal/public/classic/Servizi/ServiziOnline/AVCpa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570</Words>
  <Characters>3254</Characters>
  <Application>Microsoft Office Word</Application>
  <DocSecurity>0</DocSecurity>
  <Lines>27</Lines>
  <Paragraphs>7</Paragraphs>
  <ScaleCrop>false</ScaleCrop>
  <Company>Administrator</Company>
  <LinksUpToDate>false</LinksUpToDate>
  <CharactersWithSpaces>3817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Condizioni particolari di fornitura:</dc:title>
  <dc:subject/>
  <dc:creator>Morelli Simonetta</dc:creator>
  <cp:keywords/>
  <dc:description/>
  <cp:lastModifiedBy>Merzi Elia</cp:lastModifiedBy>
  <cp:revision>8</cp:revision>
  <dcterms:created xsi:type="dcterms:W3CDTF">2016-06-03T14:52:00Z</dcterms:created>
  <dcterms:modified xsi:type="dcterms:W3CDTF">2017-03-03T15:28:00Z</dcterms:modified>
</cp:coreProperties>
</file>